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9F" w:rsidRPr="00942A9F" w:rsidRDefault="00942A9F" w:rsidP="00942A9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42A9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МЕЖЛИТЕРАТУРНЫЙ ДИАЛОГ ТАТАРСКОГО И ЧУВАШСКОГО НАРОДОВ (ВТОРАЯ ПОЛОВИНА XIX – НАЧАЛО XX ВЕКА)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Виталий Григорьевич Родионов,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Чувашский государственный университет имени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И.Н.Ульянова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428015,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.Ч</w:t>
      </w:r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ебоксары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Московский проспект, д.15,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vitrod1@yandex.ru.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Автор статьи полагает, что для выявления диалогических отношений между литературами пригодны все виды сравнений, что их национальное своеобразие выявляется не только </w:t>
      </w:r>
      <w:proofErr w:type="spellStart"/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сопо-ставительным</w:t>
      </w:r>
      <w:proofErr w:type="spellEnd"/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анализом. Выделяется следующий тип диалогических отношений – </w:t>
      </w:r>
      <w:proofErr w:type="spellStart"/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типологиче-ский</w:t>
      </w:r>
      <w:proofErr w:type="spellEnd"/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диалог. На примере развития просветительских и национально-освободительных идей в 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Урало-Поволжье</w:t>
      </w:r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автором доказывается, что общие внешние факторы, в большинстве случаев оказавшие на татарскую и чувашскую литературы одинаковое воздействие, способствовали образованию в области их поэтики больше несходств и различий, чем аналогий и параллелей. Выделяются следующие хронологически последовательные типы диалогических отношений между литературами двух родственных народов: противопоставляющий диалог, </w:t>
      </w:r>
      <w:proofErr w:type="spellStart"/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типологиче-ский</w:t>
      </w:r>
      <w:proofErr w:type="spellEnd"/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диалог. На общем фоне чувашская лирика и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лироэпика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начала ХХ века оказались 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ради-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кальнее</w:t>
      </w:r>
      <w:proofErr w:type="spellEnd"/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чем татарская поэзия того же периода. Последняя отличилась своей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этноцентрично-стью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Начиная с 1908 г. в обеих усиливаются медитативные тенденции и 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некоторая</w:t>
      </w:r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пессими-стичность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Татарская и чувашская прозы в области поэтики развивались 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</w:t>
      </w:r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разных 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направле-ниях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первая тянулась к европейским традициям, вторая – стремилась к синтезу восточных и западных традиций. Таким образом, под воздействием общих внешних (типологических) </w:t>
      </w:r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фак-торов</w:t>
      </w:r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образовались уникальные художественные системы татарского и чувашского народов.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татарская и чувашская литературы, типы диалогических отношений, </w:t>
      </w:r>
      <w:proofErr w:type="spellStart"/>
      <w:proofErr w:type="gram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ти-пологический</w:t>
      </w:r>
      <w:proofErr w:type="spellEnd"/>
      <w:proofErr w:type="gram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диалог, своеобразие, религиозно-просветительская деятельность, этнокультур-</w:t>
      </w:r>
      <w:proofErr w:type="spellStart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ное</w:t>
      </w:r>
      <w:proofErr w:type="spellEnd"/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сознание, народные традиции.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2A9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42A9F" w:rsidRPr="00942A9F" w:rsidRDefault="00942A9F" w:rsidP="00942A9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42A9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42A9F"/>
    <w:p w:rsidR="00942A9F" w:rsidRDefault="00942A9F">
      <w:hyperlink r:id="rId7" w:history="1">
        <w:r w:rsidRPr="00AE59AE">
          <w:rPr>
            <w:rStyle w:val="a3"/>
          </w:rPr>
          <w:t>https://kpfu.ru/mezhliteraturnyj-dialog-tatarskogo-i-chuvashskogo.html</w:t>
        </w:r>
      </w:hyperlink>
    </w:p>
    <w:p w:rsidR="00942A9F" w:rsidRDefault="00942A9F">
      <w:hyperlink r:id="rId8" w:history="1">
        <w:r w:rsidRPr="00AE59AE">
          <w:rPr>
            <w:rStyle w:val="a3"/>
          </w:rPr>
          <w:t>https://kpfu.ru/portal/docs/F_1500885549/06.pdf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42A9F" w:rsidRPr="00942A9F" w:rsidRDefault="00942A9F" w:rsidP="00942A9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42A9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42A9F" w:rsidRDefault="00942A9F">
      <w:bookmarkStart w:id="0" w:name="_GoBack"/>
      <w:bookmarkEnd w:id="0"/>
    </w:p>
    <w:sectPr w:rsidR="00942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5107F"/>
    <w:multiLevelType w:val="multilevel"/>
    <w:tmpl w:val="32B2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678"/>
    <w:rsid w:val="00630516"/>
    <w:rsid w:val="00684CE9"/>
    <w:rsid w:val="00700678"/>
    <w:rsid w:val="0094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2A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2A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500885549/0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ezhliteraturnyj-dialog-tatarskogo-i-chuvashskogo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500885549/0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2018-07-05T11:14:00Z</dcterms:created>
  <dcterms:modified xsi:type="dcterms:W3CDTF">2018-07-05T11:15:00Z</dcterms:modified>
</cp:coreProperties>
</file>